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49 GasNZV 2010 — Verfahren zur Verweigerung des Netzzugangs nach § 25 des Energiewirtschaftsgesetzes</w:t>
      </w:r>
    </w:p>
    <w:p>
      <w:r>
        <w:rPr>
          <w:color w:val="555555"/>
          <w:sz w:val="18"/>
        </w:rPr>
        <w:t xml:space="preserve">Gasnetzzugangsverordnung</w:t>
      </w:r>
    </w:p>
    <w:p>
      <w:r>
        <w:rPr>
          <w:color w:val="555555"/>
          <w:sz w:val="18"/>
        </w:rPr>
        <w:t xml:space="preserve">Historische Fassung: Stand 02.07.2019 bis 01.01.2026. Dies ist nicht die aktuelle Fassung.</w:t>
      </w:r>
    </w:p>
    <w:p>
      <w:r>
        <w:t xml:space="preserve">(1) Gasversorgungsunternehmen haben den Antrag nach § 25 Satz 2 des Energiewirtschaftsgesetzes bei der Regulierungsbehörde spätestens bis zum Juni eines Jahres zu stellen. Eine spätere Antragstellung ist nur zulässig, wenn der Netzzugangsverweigerungsgrund nach dem in Satz 1 genannten Zeitpunkt entstanden ist. Dem Antrag sind alle für die Prüfung erforderlichen Angaben über die Art und den Umfang der Unzumutbarkeit und die von dem Gasversorgungsunternehmen zu deren Abwendung unternommenen Anstrengungen beizufügen.</w:t>
      </w:r>
    </w:p>
    <w:p>
      <w:r>
        <w:t xml:space="preserve">(2) Soweit nach Artikel 48 Absatz 2 der Richtlinie 2009/73/EG des Europäischen Parlaments und des Rates vom 13. Juli 2009 über gemeinsame Vorschriften für den Erdgasbinnenmarkt und zur Aufhebung der Richtlinie 2003/55/EG (ABl. L 211 vom 14.8.2009, S. 94) die Beteiligung der Kommission der Europäischen Gemeinschaften (EG-Beteiligungsverfahren) vorgesehen ist, leitet die Regulierungsbehörde dieses Verfahren ein. Die Regulierungsbehörde hat eine Entscheidung über einen Antrag nach Absatz 1 Satz 1 nach Maßgabe einer endgültigen Entscheidung der Kommission nach Artikel 48 Absatz 2 in Verbindung mit Artikel 51 Absatz 2 der Richtlinie 2009/73/EG zu ändern oder aufzuheben; die §§ 48 und 49 des Verwaltungsverfahrensgesetzes bleiben unberührt.</w:t>
      </w:r>
    </w:p>
    <w:p>
      <w:r>
        <w:rPr>
          <w:color w:val="555555"/>
          <w:sz w:val="17"/>
        </w:rPr>
        <w:t xml:space="preserve">Zitiervorschlag: § 49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https://recht.nulegal.eu/gesetze/GasNZV%202010/49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49 GasNZV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