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39b GasNZV 2010 — Netzanschlusspflicht</w:t>
      </w:r>
    </w:p>
    <w:p>
      <w:r>
        <w:rPr>
          <w:color w:val="555555"/>
          <w:sz w:val="18"/>
        </w:rPr>
        <w:t xml:space="preserve">Gasnetzzugangsverordnung</w:t>
      </w:r>
    </w:p>
    <w:p>
      <w:r>
        <w:rPr>
          <w:color w:val="555555"/>
          <w:sz w:val="18"/>
        </w:rPr>
        <w:t xml:space="preserve">Historische Fassung: Stand 02.07.2019 bis 01.01.2026. Dies ist nicht die aktuelle Fassung.</w:t>
      </w:r>
    </w:p>
    <w:p>
      <w:r>
        <w:t xml:space="preserve">(1) Fernleitungsnetzbetreiber müssen LNG-Anlagen auf Antrag eines Anschlussnehmers an die Fernleitungsnetze anschließen. Anschlussverpflichtet ist der Fernleitungsnetzbetreiber, der den technisch und wirtschaftlich günstigsten Netzanschluss der LNG-Anlage zum Fernleitungsnetz ermöglichen kann.</w:t>
      </w:r>
    </w:p>
    <w:p>
      <w:r>
        <w:t xml:space="preserve">(2) Der anschlussverpflichtete Fernleitungsnetzbetreiber kann der LNG-Anlage einen anderen als den vom Anschlussnehmer begehrten Anschlusspunkt zuweisen, wenn dieser im Rahmen des wirtschaftlich Zumutbaren die geäußerten Absichten des Anschlussnehmers bestmöglich verwirklicht.</w:t>
      </w:r>
    </w:p>
    <w:p>
      <w:r>
        <w:t xml:space="preserve">(3) Der anschlussverpflichtete Fernleitungsnetzbetreiber kann einen Netzanschluss nach Maßgabe des § 17 Absatz 2 des Energiewirtschaftsgesetzes ablehnen. Ein Netzanschluss kann nicht unter Hinweis darauf verweigert werden, dass in einem mit dem Anschlusspunkt direkt oder indirekt verbundenen Netz Kapazitätsengpässe vorliegen, soweit die technisch-physikalische Aufnahmefähigkeit des Netzes gegeben ist.</w:t>
      </w:r>
    </w:p>
    <w:p>
      <w:r>
        <w:t xml:space="preserve">(4) Die für den Netzanschluss erforderliche Infrastruktur steht im Eigentum des Fernleitungsnetzbetreibers. Sie ist ab dem Zeitpunkt der Errichtung ein Teil des Energieversorgungsnetzes.</w:t>
      </w:r>
    </w:p>
    <w:p>
      <w:r>
        <w:rPr>
          <w:color w:val="555555"/>
          <w:sz w:val="17"/>
        </w:rPr>
        <w:t xml:space="preserve">Zitiervorschlag: § 39b GasNZV 2010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https://recht.nulegal.eu/gesetze/GasNZV%202010/39b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39b GasNZV 2010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