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GasNZV 2010 — Vorrangiger Netzzugang für Transportkunden von Biogas</w:t>
      </w:r>
    </w:p>
    <w:p>
      <w:r>
        <w:rPr>
          <w:color w:val="555555"/>
          <w:sz w:val="18"/>
        </w:rPr>
        <w:t xml:space="preserve">Gasnetzzugangsverordnung</w:t>
      </w:r>
    </w:p>
    <w:p>
      <w:r>
        <w:rPr>
          <w:color w:val="555555"/>
          <w:sz w:val="18"/>
        </w:rPr>
        <w:t xml:space="preserve">Historische Fassung: Stand 10.06.2019 bis 01.01.2026. Dies ist nicht die aktuelle Fassung.</w:t>
      </w:r>
    </w:p>
    <w:p>
      <w:r>
        <w:t xml:space="preserve">(1) Netzbetreiber sind verpflichtet, Einspeiseverträge und Ausspeiseverträge vorrangig mit Transportkunden von Biogas abzuschließen und Biogas vorrangig zu transportieren, soweit diese Gase netzkompatibel im Sinne von § 36 Absatz 1 sind. Der Netzbetreiber meldet unverzüglich die Einspeisemengen in Energieeinheiten, die er vom Transportkunden übernommen hat, an den betreffenden Anschlussnehmer, den Bilanzkreisverantwortlichen sowie an vom Anschlussnehmer benannte Dritte.</w:t>
      </w:r>
    </w:p>
    <w:p>
      <w:r>
        <w:t xml:space="preserve">(2) Netzbetreiber können die Einspeisung von Biogas verweigern, falls diese technisch unmöglich oder wirtschaftlich unzumutbar ist. Die Einspeisung kann nicht mit dem Hinweis darauf verweigert werden, dass in einem mit dem Anschlusspunkt direkt oder indirekt verbundenen Netz Kapazitätsengpässe vorliegen, soweit die technisch-physikalische Aufnahmefähigkeit des Netzes gegeben ist. Der Netzbetreiber muss alle wirtschaftlich zumutbaren Maßnahmen zur Erhöhung der Kapazität im Netz durchführen, um die ganzjährige Einspeisung zu gewährleisten sowie die Fähigkeit seines Netzes sicherzustellen, die Nachfrage nach Transportkapazitäten für Biogas zu befriedigen. Davon umfasst ist auch die Sicherstellung der ausreichenden Fähigkeit zur Rückspeisung von Biogas in vorgelagerte Netze einschließlich der gegebenenfalls erforderlichen Einrichtungen, zum Beispiel zur Deodorierung und Trocknung des Biogases. § 17 Absatz 2 gilt entsprechend. Der Netzbetreiber hat zu prüfen, inwieweit die Einspeisung von Biogas ohne oder mit verminderter Flüssiggasbeimischung zu gesamtwirtschaftlich günstigen Bedingungen unter Berücksichtigung der zukünftigen Biogaseinspeisung realisiert werden kann.</w:t>
      </w:r>
    </w:p>
    <w:p>
      <w:r>
        <w:rPr>
          <w:color w:val="555555"/>
          <w:sz w:val="17"/>
        </w:rPr>
        <w:t xml:space="preserve">Zitiervorschlag: § 34 GasNZV 2010</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https://recht.nulegal.eu/gesetze/GasNZV%202010/34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