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GasNZV 2010 — Bilanzkreisabrechnung</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Die Bilanzierungsperiode ist der Gastag. Der Gastag beginnt um 6.00 Uhr und endet um 6.00 Uhr des folgenden Tages.</w:t>
      </w:r>
    </w:p>
    <w:p>
      <w:r>
        <w:t xml:space="preserve">(2) Die Marktgebietsverantwortlichen legen der Abrechnung eines Bilanzkreises den Saldo des Bilanzkontos zugrunde, der sich aus den in der Bilanzierungsperiode in den jeweiligen Bilanzkreis allokierten Ein- und Ausspeisemengen in Energieeinheiten ergibt. Dieser Saldo wird um 5 Prozent der an Letztverbraucher ohne Standardlastprofil und ohne Nominierungsersatzverfahren gelieferten Mengen vermindert (Toleranzmenge). Dieser so ermittelte Saldo wird vom Marktgebietsverantwortlichen unverzüglich dem Bilanzkreisverantwortlichen gemeldet und als Ausgleichsenergie abgerechnet. Die Toleranzmenge ist in die übernächste Bilanzierungsperiode zu übertragen und in der Bilanz des Bilanzkreisverantwortlichen auszugleichen. Die Abrechnung nach Satz 1 erfolgt spätestens zwei Monate nach dem jeweiligen Abrechnungsmonat.</w:t>
      </w:r>
    </w:p>
    <w:p>
      <w:r>
        <w:t xml:space="preserve">(3) Der Marktgebietsverantwortliche kann bei der Ermittlung der Entgelte für die Abrechnung nach Absatz 2 Satz 3 angemessene Zu- und Abschläge auf diese Entgelte erheben, wenn und soweit dies erforderlich und angemessen ist, um die Netzstabilität zu sichern oder eine missbräuchliche Ausnutzung des Bilanzierungssystems zu vermeiden. Die Entgelte sollen den Bilanzkreisverantwortlichen insbesondere angemessene Anreize zur Vermeidung von Bilanzungleichgewichten setzen.</w:t>
      </w:r>
    </w:p>
    <w:p>
      <w:r>
        <w:rPr>
          <w:color w:val="555555"/>
          <w:sz w:val="17"/>
        </w:rPr>
        <w:t xml:space="preserve">Zitiervorschlag: § 23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