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GasNZV 2010 — Reduzierung der Anzahl der Marktgebiete</w:t>
      </w:r>
    </w:p>
    <w:p>
      <w:r>
        <w:rPr>
          <w:color w:val="555555"/>
          <w:sz w:val="18"/>
        </w:rPr>
        <w:t xml:space="preserve">Gasnetzzugangsverordnung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(1) Die Fernleitungsnetzbetreiber, die Marktgebiete nach § 20 bilden, haben mit dem Ziel zusammenzuarbeiten, die Liquidität des Gasmarktes zu erhöhen. Sie haben spätestens ab 1. April 2022 aus den bestehenden zwei Marktgebieten ein gemeinsames Marktgebiet zu bilden.</w:t>
      </w:r>
    </w:p>
    <w:p>
      <w:r>
        <w:t xml:space="preserve">(2) Die Regulierungsbehörde prüft, ob die Verpflichtungen nach Absatz 1 erfüllt werden. Stellt sie fest, dass dies nicht der Fall ist, hat sie von ihren Befugnissen nach § 65 des Energiewirtschaftsgesetzes Gebrauch zu machen.</w:t>
      </w:r>
    </w:p>
    <w:p>
      <w:r>
        <w:rPr>
          <w:color w:val="555555"/>
          <w:sz w:val="17"/>
        </w:rPr>
        <w:t xml:space="preserve">Zitiervorschlag: § 21 GasNZV 2010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https://recht.nulegal.eu/gesetze/GasNZV%202010/21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