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GasNZV 2010 — Freigabepflicht ungenutzter Kapazitäten</w:t>
      </w:r>
    </w:p>
    <w:p>
      <w:r>
        <w:rPr>
          <w:color w:val="555555"/>
          <w:sz w:val="18"/>
        </w:rPr>
        <w:t xml:space="preserve">Gasnetzzugangsverordnung</w:t>
      </w:r>
    </w:p>
    <w:p>
      <w:r>
        <w:rPr>
          <w:color w:val="555555"/>
          <w:sz w:val="18"/>
        </w:rPr>
        <w:t xml:space="preserve">Historische Fassung: Stand 10.06.2019 bis 01.01.2026. Dies ist nicht die aktuelle Fassung.</w:t>
      </w:r>
    </w:p>
    <w:p>
      <w:r>
        <w:t xml:space="preserve">(1) Transportkunden sind bis zum Nominierungszeitpunkt verpflichtet, vollständig oder teilweise ungenutzte feste Kapazitäten unverzüglich als Sekundärkapazitäten auf der in § 12 Absatz 2 vorgesehenen Kapazitätsbuchungsplattform anzubieten oder dem Fernleitungsnetzbetreiber für den Zeitraum und im Umfang der Nichtnutzung zur Verfügung zu stellen.</w:t>
      </w:r>
    </w:p>
    <w:p>
      <w:r>
        <w:t xml:space="preserve">(2) Soweit der Transportkunde von ihm gebuchte feste Kapazitäten zum Nominierungszeitpunkt nicht oder nicht vollständig nominiert, ist der Fernleitungsnetzbetreiber verpflichtet, diese Kapazitäten in dem nicht in Anspruch genommenen Umfang unter Berücksichtigung bestehender Renominierungsrechte für den Folgetag als feste Kapazitäten anzubieten. Die Verpflichtung des Fernleitungsnetzbetreibers nach § 11 Absatz 1 zum Angebot unterbrechbarer Kapazitäten bleibt unberührt. Der Transportkunde, dessen Kapazitäten durch den Fernleitungsnetzbetreiber nach Satz 1 angeboten wurden, bleibt zur Zahlung der Einspeise- oder Ausspeiseentgelte verpflichtet.</w:t>
      </w:r>
    </w:p>
    <w:p>
      <w:r>
        <w:t xml:space="preserve">(3) Der Fernleitungsnetzbetreiber hat bei Vorliegen vertraglicher Engpässe die festen gebuchten Kapazitäten mit einer Laufzeit von mindestens einem Jahr in dem Umfang zu entziehen, in dem der Transportkunde seine festen gebuchten Kapazitäten während drei Monaten innerhalb des zurückliegenden Kalenderjahres dauerhaft nicht in Anspruch genommen hat. Einer dieser drei Monate muss der Monat Oktober, November, Dezember, Januar, Februar oder März gewesen sein.</w:t>
      </w:r>
    </w:p>
    <w:p>
      <w:r>
        <w:t xml:space="preserve">(4) Der Transportkunde kann der Entziehung widersprechen, wenn er</w:t>
      </w:r>
    </w:p>
    <w:p>
      <w:pPr>
        <w:ind w:left="420"/>
      </w:pPr>
      <w:r>
        <w:t xml:space="preserve">1. nachweist, dass er die Kapazitäten in Übereinstimmung mit § 16 Absatz 1 auf dem Sekundärmarkt angeboten oder dem Fernleitungsnetzbetreiber für den Zeitraum und im Umfang der Nichtnutzung zur Verfügung gestellt hat,</w:t>
      </w:r>
    </w:p>
    <w:p>
      <w:pPr>
        <w:ind w:left="420"/>
      </w:pPr>
      <w:r>
        <w:t xml:space="preserve">2. unverzüglich schriftlich oder elektronisch schlüssig darlegt, dass er die Kapazitäten in vollem Umfang weiterhin benötigt, um bestehende vertragliche Verpflichtungen, insbesondere aus Gasbezugs- oder Gaslieferverträgen, zu erfüllen, oder</w:t>
      </w:r>
    </w:p>
    <w:p>
      <w:pPr>
        <w:ind w:left="420"/>
      </w:pPr>
      <w:r>
        <w:t xml:space="preserve">3. unverzüglich schriftlich oder elektronisch schlüssig darlegt, dass er über verschiedene vertragliche Gasbeschaffungsalternativen verfügt, für die Kapazitäten an unterschiedlichen Einspeisepunkten gebucht sind, die von ihm alternativ genutzt werden, und dass er die nicht benötigten Kapazitäten für den Zeitraum der Nichtnutzung im Umfang der Nichtnutzung auf dem Sekundärmarkt oder dem Fernleitungsnetzbetreiber für den Zeitraum und im Umfang der Nichtnutzung zur Verfügung gestellt hat.</w:t>
      </w:r>
    </w:p>
    <w:p>
      <w:r>
        <w:t xml:space="preserve">Fernleitungsnetzbetreiber haben Informationen nach Satz 1 sowie Absatz 2 und 3 über einen Zeitraum von zwei Jahren aufzubewahren und der Regulierungsbehörde auf Anforderung zur Verfügung zu stellen. Auf Anforderung erbringt der Transportkunde den Nachweis nach Satz 1 Nummer 2 und 3 gegenüber der Regulierungsbehörde durch Vorlage von Kopien der entsprechenden vertraglichen Vereinbarungen. Transportkunden, denen Ein- und Ausspeisekapazität verweigert wurde, sind vom Fernleitungsnetzbetreiber auf Verlangen die Informationen nach Satz 1 unter Wahrung von Betriebs- und Geschäftsgeheimnissen Dritter zur Verfügung zu stellen.</w:t>
      </w:r>
    </w:p>
    <w:p>
      <w:r>
        <w:rPr>
          <w:color w:val="555555"/>
          <w:sz w:val="17"/>
        </w:rPr>
        <w:t xml:space="preserve">Zitiervorschlag: § 16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