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GasNZV 2010 — Nominierung und Nominierungsersatzverfahren</w:t>
      </w:r>
    </w:p>
    <w:p>
      <w:r>
        <w:rPr>
          <w:color w:val="555555"/>
          <w:sz w:val="18"/>
        </w:rPr>
        <w:t xml:space="preserve">Gasnetzzugangsverordnung</w:t>
      </w:r>
    </w:p>
    <w:p>
      <w:r>
        <w:rPr>
          <w:color w:val="555555"/>
          <w:sz w:val="18"/>
        </w:rPr>
        <w:t xml:space="preserve">Historische Fassung: Stand 10.06.2019 bis 01.01.2026. Dies ist nicht die aktuelle Fassung.</w:t>
      </w:r>
    </w:p>
    <w:p>
      <w:r>
        <w:t xml:space="preserve">(1) Der Transportkunde hat die beabsichtigte Inanspruchnahme von Ein- und Ausspeisekapazitäten nach Stundenmengen in Kilowattstunden pro Stunde beim Fernleitungsnetzbetreiber anzumelden (Nominierung). Ausspeisenominierungen sind nur in den folgenden Fällen notwendig:</w:t>
      </w:r>
    </w:p>
    <w:p>
      <w:pPr>
        <w:ind w:left="420"/>
      </w:pPr>
      <w:r>
        <w:t xml:space="preserve">1. bei der Ausspeisung aus einer Speicheranlage, soweit der betreffende Ausspeisepunkt nicht nach § 13 Absatz 3 Satz 3 vom Betreiber der Speicheranlage gebucht wurde,</w:t>
      </w:r>
    </w:p>
    <w:p>
      <w:pPr>
        <w:ind w:left="420"/>
      </w:pPr>
      <w:r>
        <w:t xml:space="preserve">2. bei der Überspeisung in ein anderes Marktgebiet oder einen angrenzenden Staat, sowie</w:t>
      </w:r>
    </w:p>
    <w:p>
      <w:pPr>
        <w:ind w:left="420"/>
      </w:pPr>
      <w:r>
        <w:t xml:space="preserve">3. bei der Buchung von Transportkapazität an demselben Ausspeisepunkt durch mehrere Transportkunden, sofern dieser Ausspeisepunkt unterschiedlichen Bilanzkreisen zugeordnet ist.</w:t>
      </w:r>
    </w:p>
    <w:p>
      <w:r>
        <w:t xml:space="preserve">Satz 2 Nummer 3 gilt entsprechend, wenn der Transportkunde denselben Ausspeisepunkt in unterschiedliche Bilanzkreise eingebracht hat.</w:t>
      </w:r>
    </w:p>
    <w:p>
      <w:r>
        <w:t xml:space="preserve">(2) Transportkunden können einen Dritten mit der Nominierung beauftragen. Dieser nominiert im Namen der ihn beauftragenden Transportkunden beim Fernleitungsnetzbetreiber. Die vertraglichen Verpflichtungen zwischen Transportkunde und Fernleitungsnetzbetreiber bleiben hiervon unberührt.</w:t>
      </w:r>
    </w:p>
    <w:p>
      <w:r>
        <w:t xml:space="preserve">(3) Fernleitungsnetzbetreiber haben Transportkunden neben dem Standardnominierungsverfahren nach Absatz 1 ein Nominierungsersatzverfahren anzubieten, soweit dies technisch möglich und wirtschaftlich zumutbar ist. Das Angebot muss diskriminierungsfrei sein. Ist dem Fernleitungsnetzbetreiber ein solches Angebot technisch nicht möglich oder wirtschaftlich nicht zumutbar, hat er dies schlüssig zu begründen.</w:t>
      </w:r>
    </w:p>
    <w:p>
      <w:r>
        <w:rPr>
          <w:color w:val="555555"/>
          <w:sz w:val="17"/>
        </w:rPr>
        <w:t xml:space="preserve">Zitiervorschlag: § 15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