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GasNEV — Aufwandsgleiche Kostenpositionen</w:t>
      </w:r>
    </w:p>
    <w:p>
      <w:r>
        <w:rPr>
          <w:color w:val="555555"/>
          <w:sz w:val="18"/>
        </w:rPr>
        <w:t xml:space="preserve">Gasnetzentgeltverordnung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Aufwandsgleiche Kostenpositionen sind den nach § 6b Absatz 3 des Energiewirtschaftsgesetzes erstellten Gewinn- und Verlustrechnungen für die Gasfernleitung und Gasverteilung zu entnehmen und nach Maßgabe des § 4 Abs. 1 bei der Bestimmung der Netzkosten zu berücksichtigen.</w:t>
      </w:r>
    </w:p>
    <w:p>
      <w:r>
        <w:t xml:space="preserve">(2) Fremdkapitalzinsen sind in ihrer tatsächlichen Höhe einzustellen, höchstens jedoch in der Höhe kapitalmarktüblicher Zinsen für vergleichbare Kreditaufnahmen.</w:t>
      </w:r>
    </w:p>
    <w:p>
      <w:r>
        <w:rPr>
          <w:color w:val="555555"/>
          <w:sz w:val="17"/>
        </w:rPr>
        <w:t xml:space="preserve">Zitiervorschlag: § 5 GasNEV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https://recht.nulegal.eu/gesetze/GasNEV/5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