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GasNEV — Ordnungswidrigkeiten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Ordnungswidrig im Sinne des § 95 Abs. 1 Nr. 5 Buchstabe a des Energiewirtschaftsgesetzes handelt, wer vorsätzlich oder fahrlässig</w:t>
      </w:r>
    </w:p>
    <w:p>
      <w:pPr>
        <w:ind w:left="420"/>
      </w:pPr>
      <w:r>
        <w:t xml:space="preserve">1. entgegen § 4 Abs. 4 Satz 4 oder 6, § 11 Satz 4 oder 7 oder § 16 Abs. 2 eine Dokumentation nicht, nicht richtig, nicht vollständig oder nicht in der vorgeschriebenen Weise vornimmt oder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entgegen § 28 Abs. 1 Satz 1 einen Bericht nicht, nicht richtig, nicht vollständig oder nicht rechtzeitig erstellt.</w:t>
      </w:r>
    </w:p>
    <w:p>
      <w:r>
        <w:rPr>
          <w:color w:val="555555"/>
          <w:sz w:val="17"/>
        </w:rPr>
        <w:t xml:space="preserve">Zitiervorschlag: § 31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