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GasNEV — Festlegungen der Regulierungsbehörde</w:t>
      </w:r>
    </w:p>
    <w:p>
      <w:r>
        <w:rPr>
          <w:color w:val="555555"/>
          <w:sz w:val="18"/>
        </w:rPr>
        <w:t xml:space="preserve">Gasnetzentgeltverordnung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Zur Verwirklichung eines effizienten Netzzugangs und der in § 1 Abs. 1 des Energiewirtschaftsgesetzes genannten Zwecke kann die Regulierungsbehörde unter Beachtung der Anforderungen eines sicheren Netzbetriebs Entscheidungen durch Festlegung nach § 29 Abs. 1 des Energiewirtschaftsgesetzes treffen über</w:t>
      </w:r>
    </w:p>
    <w:p>
      <w:pPr>
        <w:ind w:left="420"/>
      </w:pPr>
      <w:r>
        <w:t xml:space="preserve">1. die Schlüsselung der Gemeinkosten nach § 4 Abs. 4 sowie die Schlüsselung bei der Bildung von Teilnetzen nach § 14 Abs. 1,</w:t>
      </w:r>
    </w:p>
    <w:p>
      <w:pPr>
        <w:ind w:left="420"/>
      </w:pPr>
      <w:r>
        <w:t xml:space="preserve">2. die Aufschlüsselung der Positionen der Gewinn- und Verlustrechnungen nach § 5 und</w:t>
      </w:r>
    </w:p>
    <w:p>
      <w:pPr>
        <w:ind w:left="420"/>
      </w:pPr>
      <w:r>
        <w:t xml:space="preserve">3. zusätzliche Anforderungen an die Struktur und Inhalt des Berichts nach § 28 und dessen Anhang.</w:t>
      </w:r>
    </w:p>
    <w:p>
      <w:r>
        <w:t xml:space="preserve">(2) Die Regulierungsbehörde kann ferner Festlegungen treffen zur Gewährleistung</w:t>
      </w:r>
    </w:p>
    <w:p>
      <w:pPr>
        <w:ind w:left="420"/>
      </w:pPr>
      <w:r>
        <w:t xml:space="preserve">1. der Zulässigkeit außerordentlicher Aufwendungen und Erträge sowie einer sachgerechten Verteilung dieser außerordentlichen Aufwendungen und Erträge auf mehrere Kalkulationsperioden nach § 4 Abs. 7, falls diese Aufwendungen und Erträge die Kosten der nächsten Kalkulationsperiode spürbar beeinflussen würden,</w:t>
      </w:r>
    </w:p>
    <w:p>
      <w:pPr>
        <w:ind w:left="420"/>
      </w:pPr>
      <w:r>
        <w:t xml:space="preserve">2. einer sachgerechten Gewichtung der bei der Ermittlung der Tagesneuwerte anzuwendenden Indexreihen, soweit § 6a Mischindizes vorsieht, insbesondere, um Produktivitätsfortschritte in den relevanten Wirtschaftsbereichen zu berücksichtigen,</w:t>
      </w:r>
    </w:p>
    <w:p>
      <w:pPr>
        <w:ind w:left="420"/>
      </w:pPr>
      <w:r>
        <w:t xml:space="preserve">3. einer sachgerechten Ermittlung der kalkulatorischen Steuern nach § 8,</w:t>
      </w:r>
    </w:p>
    <w:p>
      <w:pPr>
        <w:ind w:left="420"/>
      </w:pPr>
      <w:r>
        <w:t xml:space="preserve">4. der Angemessenheit des Zinssatzes nach § 10,</w:t>
      </w:r>
    </w:p>
    <w:p>
      <w:pPr>
        <w:ind w:left="420"/>
      </w:pPr>
      <w:r>
        <w:t xml:space="preserve">5. sachgerechter Kostenstellen nach § 12 in Abweichung von Anlage 2,</w:t>
      </w:r>
    </w:p>
    <w:p>
      <w:pPr>
        <w:ind w:left="420"/>
      </w:pPr>
      <w:r>
        <w:t xml:space="preserve">6. einer sachgerechten Aufteilung der Kosten auf Ein- und Ausspeiseentgelte nach § 15 Abs. 1,</w:t>
      </w:r>
    </w:p>
    <w:p>
      <w:pPr>
        <w:ind w:left="420"/>
      </w:pPr>
      <w:r>
        <w:t xml:space="preserve">7. einer sachgerechten Ermittlung der Netzentgelte nach § 15 Abs. 2 bis 7, einschließlich anzuwendender betriebswirtschaftlicher Verfahren, nach § 18 Abs. 2 bis 5 und nach § 20 Abs. 1 und 2,</w:t>
      </w:r>
    </w:p>
    <w:p>
      <w:pPr>
        <w:ind w:left="420"/>
      </w:pPr>
      <w:r>
        <w:t xml:space="preserve">8. sachgerechter Entgelte in Abweichung von § 15 Abs. 8,</w:t>
      </w:r>
    </w:p>
    <w:p>
      <w:pPr>
        <w:ind w:left="420"/>
      </w:pPr>
      <w:r>
        <w:t xml:space="preserve">9. sachgerechter Anlagengruppen und Abschreibungszeiträume in Abweichung von Anlage 1 und</w:t>
      </w:r>
    </w:p>
    <w:p>
      <w:pPr>
        <w:ind w:left="420"/>
      </w:pPr>
      <w:r>
        <w:t xml:space="preserve">10. einer sachgerechten Durchführung der Kosten- oder Entgeltwälzung.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30 GasNEV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https://recht.nulegal.eu/gesetze/GasNEV/30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