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GasNEV — Vergleich der Fernleitungsnetzbetreiber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Außer Kraft: § 26 ist seit 10.01.2020 nicht mehr im GasNEV enthalten. Angezeigt wird die letzte bekannte Fassung, Stand 10.06.2019.</w:t>
      </w:r>
    </w:p>
    <w:p>
      <w:r>
        <w:t xml:space="preserve">(1) Für den Vergleich der Fernleitungsnetzbetreiber, die die Entgelte nach § 19 bilden, sind abweichend von den §§ 21 bis 25 nur § 21 Abs. 1 und 3, § 22 Nr. 1 und 2, § 23 Abs. 4 Nr. 2 bis 4 sowie § 25 Abs. 1 Nr. 3 und 4 und Abs. 2 anzuwenden.</w:t>
      </w:r>
    </w:p>
    <w:p>
      <w:r>
        <w:t xml:space="preserve">(2) Der Vergleich der Fernleitungsnetzbetreiber, die ihre Entgelte nach § 19 bilden, soll von der Regulierungsbehörde jährlich durchgeführt werden. Die Regulierungsbehörde kann in ihrem Vergleich Netzbetreiber in anderen Mitgliedstaaten der Europäischen Union heranziehen.</w:t>
      </w:r>
    </w:p>
    <w:p>
      <w:r>
        <w:rPr>
          <w:color w:val="555555"/>
          <w:sz w:val="17"/>
        </w:rPr>
        <w:t xml:space="preserve">Zitiervorschlag: § 26 GasNEV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