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GasNEV — Kostenstruktur</w:t>
      </w:r>
    </w:p>
    <w:p>
      <w:r>
        <w:rPr>
          <w:color w:val="555555"/>
          <w:sz w:val="18"/>
        </w:rPr>
        <w:t xml:space="preserve">Gasnetzentgeltverordnung</w:t>
      </w:r>
    </w:p>
    <w:p>
      <w:r>
        <w:rPr>
          <w:color w:val="555555"/>
          <w:sz w:val="18"/>
        </w:rPr>
        <w:t xml:space="preserve">Außer Kraft: § 24 ist seit 10.01.2020 nicht mehr im GasNEV enthalten. Angezeigt wird die letzte bekannte Fassung, Stand 10.06.2019.</w:t>
      </w:r>
    </w:p>
    <w:p>
      <w:r>
        <w:t xml:space="preserve">Die Regulierungsbehörde kann im Rahmen von Vergleichen ermitteln, ob der Anteil der auf den Netzbetrieb entfallenden Gemeinkosten des Gesamtunternehmens an den Kosten nach § 4 Abs. 1 angemessen ist. Die Regulierungsbehörde kann insbesondere die Angemessenheit der in Anwendung gebrachten Schlüssel überprüfen.</w:t>
      </w:r>
    </w:p>
    <w:p>
      <w:r>
        <w:rPr>
          <w:color w:val="555555"/>
          <w:sz w:val="17"/>
        </w:rPr>
        <w:t xml:space="preserve">Zitiervorschlag: § 24 GasNEV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https://recht.nulegal.eu/gesetze/GasNEV/24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