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GasNEV — Vergleich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Außer Kraft: § 22 ist seit 10.01.2020 nicht mehr im GasNEV enthalten. Angezeigt wird die letzte bekannte Fassung, Stand 10.06.2019.</w:t>
      </w:r>
    </w:p>
    <w:p>
      <w:r>
        <w:t xml:space="preserve">Der Vergleich ist nach folgenden Grundsätzen durchzuführen:</w:t>
      </w:r>
    </w:p>
    <w:p>
      <w:pPr>
        <w:ind w:left="420"/>
      </w:pPr>
      <w:r>
        <w:t xml:space="preserve">1. Im Falle eines Vergleichs von Entgelten ist in Abhängigkeit der verglichenen Gasversorgungsnetze sicherzustellen, dass dem Vergleich stets das durchschnittliche, vollständig mengengewichtete Entgelt zu Grunde liegt, wobei dieses bei separaten Ein- und Ausspeiseentgelten über alle Ein- und Ausspeisepunkte zu bilden ist; einer unterschiedlichen Auslastung der verglichenen Netze ist jeweils Rechnung zu tragen.</w:t>
      </w:r>
    </w:p>
    <w:p>
      <w:pPr>
        <w:ind w:left="420"/>
      </w:pPr>
      <w:r>
        <w:t xml:space="preserve">2. Bei einem Vergleich der Erlöse aus Netzentgelten eines Gasversorgungsnetzes ist insbesondere das Verhältnis dieser Erlöse zu der Länge des Gasnetzes in den verschiedenen Druckstufen zu berücksichtigen.</w:t>
      </w:r>
    </w:p>
    <w:p>
      <w:pPr>
        <w:ind w:left="420"/>
      </w:pPr>
      <w:r>
        <w:t xml:space="preserve">3. Bei einem Vergleich der Kosten einer Druckstufe eines Versorgungsnetzes ist insbesondere das Verhältnis der Kosten zu der Länge des Gasnetzes der jeweiligen Druckstufe zu berücksichtigen.</w:t>
      </w:r>
    </w:p>
    <w:p>
      <w:r>
        <w:rPr>
          <w:color w:val="555555"/>
          <w:sz w:val="17"/>
        </w:rPr>
        <w:t xml:space="preserve">Zitiervorschlag: § 22 GasNEV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