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20b GasNEV</w:t>
      </w:r>
    </w:p>
    <w:p>
      <w:r>
        <w:rPr>
          <w:color w:val="555555"/>
          <w:sz w:val="18"/>
        </w:rPr>
        <w:t xml:space="preserve">Gasnetzentgeltverordnung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Kosten</w:t>
      </w:r>
    </w:p>
    <w:p>
      <w:pPr>
        <w:ind w:left="420"/>
      </w:pPr>
      <w:r>
        <w:t xml:space="preserve">– für den effizienten Netzanschluss sowie für die Wartung und den Betrieb gemäß § 33 Absatz 2, die Maßnahmen gemäß § 33 Absatz 10 sowie die Maßnahmen gemäß § 34 Absatz 2 der Gasnetzzugangsverordnung,</w:t>
      </w:r>
    </w:p>
    <w:p>
      <w:pPr>
        <w:ind w:left="420"/>
      </w:pPr>
      <w:r>
        <w:t xml:space="preserve">– für den erweiterten Bilanzausgleich gemäß § 35 der Gasnetzzugangsverordnung abzüglich der vom Bilanzkreisverantwortlichen gemäß § 35 Absatz 8 der Gasnetzzugangsverordnung zu zahlenden Pauschale,</w:t>
      </w:r>
    </w:p>
    <w:p>
      <w:pPr>
        <w:ind w:left="420"/>
      </w:pPr>
      <w:r>
        <w:t xml:space="preserve">– gemäß § 36 Absatz 3 und 4 der Gasnetzzugangsverordnung,</w:t>
      </w:r>
    </w:p>
    <w:p>
      <w:pPr>
        <w:ind w:left="420"/>
      </w:pPr>
      <w:r>
        <w:t xml:space="preserve">– für die vom Netzbetreiber gemäß § 20a an den Transportkunden von Biogas zu zahlenden Entgelte für vermiedene Netzkosten</w:t>
      </w:r>
    </w:p>
    <w:p>
      <w:r>
        <w:t xml:space="preserve">werden bundesweit umgelegt.</w:t>
      </w:r>
    </w:p>
    <w:p>
      <w:r>
        <w:rPr>
          <w:color w:val="555555"/>
          <w:sz w:val="17"/>
        </w:rPr>
        <w:t xml:space="preserve">Zitiervorschlag: § 20b GasNEV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https://recht.nulegal.eu/gesetze/GasNEV/20b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