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GasNEV — Begriffsbestimmungen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bedeutet</w:t>
      </w:r>
    </w:p>
    <w:p>
      <w:pPr>
        <w:ind w:left="420"/>
      </w:pPr>
      <w:r>
        <w:t xml:space="preserve">1. Gaswirtschaftsjahrder Zeitraum vom 1. Oktober, 6.00 Uhr, eines Kalenderjahres bis zum 1. Oktober, 6.00 Uhr, des folgenden Kalenderjahres;</w:t>
      </w:r>
    </w:p>
    <w:p>
      <w:pPr>
        <w:ind w:left="420"/>
      </w:pPr>
      <w:r>
        <w:t xml:space="preserve">2. Kalkulationsperiodedas Geschäftsjahr des Betreibers eines Gasfernleitungs- oder Gasverteilernetzes;</w:t>
      </w:r>
    </w:p>
    <w:p>
      <w:pPr>
        <w:ind w:left="420"/>
      </w:pPr>
      <w:r>
        <w:t xml:space="preserve">3. Überregionales Gasfernleitungsnetzein Fernleitungsnetz, in das Gas an der Grenze zur Bundesrepublik Deutschland oder an einem Übergabepunkt aus einer inländischen Produktionsleitung eingespeist wird und das</w:t>
      </w:r>
    </w:p>
    <w:p>
      <w:pPr>
        <w:ind w:left="780"/>
      </w:pPr>
      <w:r>
        <w:t xml:space="preserve">a) dem Transport des Gases zu einem Ausspeisepunkt an der Grenze der Bundesrepublik Deutschland dient oder</w:t>
      </w:r>
    </w:p>
    <w:p>
      <w:pPr>
        <w:ind w:left="780"/>
      </w:pPr>
      <w:r>
        <w:t xml:space="preserve">b) ausschließlich oder überwiegend dem Import von Erdgas oder dem Transport von im Inland produzierten Erdgas dient und aus dem im Inland ganz oder überwiegend Gas in nachgelagerte Gasverteilernetze eingespeist wird.</w:t>
      </w:r>
    </w:p>
    <w:p>
      <w:r>
        <w:t xml:space="preserve">Im Übrigen finden die Begriffsbestimmungen der Gasnetzzugangsverordnung entsprechende Anwendung.</w:t>
      </w:r>
    </w:p>
    <w:p>
      <w:r>
        <w:rPr>
          <w:color w:val="555555"/>
          <w:sz w:val="17"/>
        </w:rPr>
        <w:t xml:space="preserve">Zitiervorschlag: § 2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