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GasNEV — Verprobung</w:t>
      </w:r>
    </w:p>
    <w:p>
      <w:r>
        <w:rPr>
          <w:color w:val="555555"/>
          <w:sz w:val="18"/>
        </w:rPr>
        <w:t xml:space="preserve">Gasnetzentgeltverordnung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Netzbetreiber haben im Rahmen der Ermittlung der Netzentgelte sicherzustellen, dass ein zur Veröffentlichung stehendes Entgeltsystem geeignet ist, die nach § 4 ermittelten Kosten zu decken. Im Einzelnen ist sicherzustellen, dass die Anwendung des Entgeltsystems einen prognostizierten Erlös ergibt, welcher der Höhe nach den zu deckenden Kosten nach Satz 1 entspricht.</w:t>
      </w:r>
    </w:p>
    <w:p>
      <w:r>
        <w:t xml:space="preserve">(2) Die Verprobungen nach Absatz 1 sind vom Netzbetreiber in einer für sachkundige Dritte nachvollziehbaren Weise schriftlich zu dokumentieren und in den Bericht nach § 28 aufzunehmen.</w:t>
      </w:r>
    </w:p>
    <w:p>
      <w:r>
        <w:rPr>
          <w:color w:val="555555"/>
          <w:sz w:val="17"/>
        </w:rPr>
        <w:t xml:space="preserve">Zitiervorschlag: § 16 GasNEV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https://recht.nulegal.eu/gesetze/GasNEV/16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