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GasNEV — Teilnetze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ein Betreiber von Gasversorgungsnetzen nach § 6 Abs. 5 der Gasnetzzugangsverordnung Teilnetze gebildet hat, hat er die nach § 4 ermittelten Netzkosten zunächst den einzelnen Teilnetzen zuzuordnen. Die Zuordnung kann durch eine sachgerechte Schlüsselung erfolgen und ist zu dokumentieren.</w:t>
      </w:r>
    </w:p>
    <w:p>
      <w:r>
        <w:t xml:space="preserve">(2) Die Ermittlung der Netzentgelte nach § 15 erfolgt getrennt für die einzelnen Teilnetze auf Basis der diesen Teilnetzen zugewiesenen Kosten. Nur einmal erbrachte Systemdienstleistungen nach § 5 Abs. 2 der Gasnetzzugangsverordnung dürfen bei der Nutzung mehrerer Teilnetze eines Netzbetreibers nicht mehrfach berechnet werden.</w:t>
      </w:r>
    </w:p>
    <w:p>
      <w:r>
        <w:rPr>
          <w:color w:val="555555"/>
          <w:sz w:val="17"/>
        </w:rPr>
        <w:t xml:space="preserve">Zitiervorschlag: § 14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