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GasNEV — Anwendungsbereich</w:t>
      </w:r>
    </w:p>
    <w:p>
      <w:r>
        <w:rPr>
          <w:color w:val="555555"/>
          <w:sz w:val="18"/>
        </w:rPr>
        <w:t xml:space="preserve">Gasnetzentgeltverordnung</w:t>
      </w:r>
    </w:p>
    <w:p>
      <w:r>
        <w:rPr>
          <w:color w:val="555555"/>
          <w:sz w:val="18"/>
        </w:rPr>
        <w:t xml:space="preserve">Stand: 04.08.2021 (konsolidierte Textfassung, kein amtliches Inkrafttretensdatum)</w:t>
      </w:r>
    </w:p>
    <w:p>
      <w:r>
        <w:t xml:space="preserve">Diese Verordnung regelt die Festlegung der Methode zur Bestimmung der Entgelte für den Zugang zu den Gasversorgungsnetzen (Netzentgelte).</w:t>
      </w:r>
    </w:p>
    <w:p>
      <w:r>
        <w:rPr>
          <w:color w:val="555555"/>
          <w:sz w:val="17"/>
        </w:rPr>
        <w:t xml:space="preserve">Zitiervorschlag: § 1 GasNEV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https://recht.nulegal.eu/gesetze/GasNEV/1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