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GasLastV</w:t>
      </w:r>
    </w:p>
    <w:p>
      <w:r>
        <w:rPr>
          <w:color w:val="555555"/>
          <w:sz w:val="18"/>
        </w:rPr>
        <w:t xml:space="preserve">Gaslastverteilungs-Verordnung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vorsätzlich oder fahrlässig einer vollziehbaren Verfügung nach § 5 Abs. 1 zuwiderhandelt, begeht eine Zuwiderhandlung im Sinne des § 18 des Wirtschaftssicherstellungsgesetzes, die nach dem Wirtschaftsstrafgesetz 1954 geahndet wird.</w:t>
      </w:r>
    </w:p>
    <w:p>
      <w:r>
        <w:rPr>
          <w:color w:val="555555"/>
          <w:sz w:val="17"/>
        </w:rPr>
        <w:t xml:space="preserve">Zitiervorschlag: § 8 GasLastV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https://recht.nulegal.eu/gesetze/GasLastV/8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