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GasLastV</w:t>
      </w:r>
    </w:p>
    <w:p>
      <w:r>
        <w:rPr>
          <w:color w:val="555555"/>
          <w:sz w:val="18"/>
        </w:rPr>
        <w:t xml:space="preserve">Gaslastverteilungs-Verordnung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Senate der Länder Bremen und Hamburg werden ermächtigt, die Vorschriften dieser Verordnung über die Zuständigkeit von Behörden dem besonderen Verwaltungsaufbau ihrer Länder anzupassen.</w:t>
      </w:r>
    </w:p>
    <w:p>
      <w:r>
        <w:rPr>
          <w:color w:val="555555"/>
          <w:sz w:val="17"/>
        </w:rPr>
        <w:t xml:space="preserve">Zitiervorschlag: § 10 GasLastV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https://recht.nulegal.eu/gesetze/GasLastV/10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