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Sicherstellung der öffentlichen Gasversorgung wird eine Lastverteilung für Gas eingerichtet.</w:t>
      </w:r>
    </w:p>
    <w:p>
      <w:r>
        <w:t xml:space="preserve">(2) Gas im Sinne dieser Verordnung sind brennbare, verdichtete oder verflüssigte Gase, die für eine Verwendung in der öffentlichen Gasversorgung mittelbar oder unmittelbar geeignet sind.</w:t>
      </w:r>
    </w:p>
    <w:p>
      <w:r>
        <w:t xml:space="preserve">(3) Auf Flüssiggas ist diese Verordnung insoweit anzuwenden, als es für die leitungsgebundene öffentliche Gasversorgung verwendet wird.</w:t>
      </w:r>
    </w:p>
    <w:p>
      <w:r>
        <w:rPr>
          <w:color w:val="555555"/>
          <w:sz w:val="17"/>
        </w:rPr>
        <w:t xml:space="preserve">Zitiervorschlag: § 1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