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GasGVV — Erweiterung und Änderung von Anlagen und Verbrauchsgeräten; Mitteilungspflichten</w:t>
      </w:r>
    </w:p>
    <w:p>
      <w:r>
        <w:rPr>
          <w:color w:val="555555"/>
          <w:sz w:val="18"/>
        </w:rPr>
        <w:t xml:space="preserve">Gasgrundversorgungsverordnung</w:t>
      </w:r>
    </w:p>
    <w:p>
      <w:r>
        <w:rPr>
          <w:color w:val="555555"/>
          <w:sz w:val="18"/>
        </w:rPr>
        <w:t xml:space="preserve">Stand: 10.06.2019 (konsolidierte Textfassung, kein amtliches Inkrafttretensdatum)</w:t>
      </w:r>
    </w:p>
    <w:p>
      <w:r>
        <w:t xml:space="preserve">Erweiterungen und Änderungen von Kundenanlagen sowie die Verwendung zusätzlicher Gasgeräte sind dem Grundversorger mitzuteilen, soweit sich dadurch preisliche Bemessungsgrößen ändern. Nähere Einzelheiten über den Inhalt der Mitteilung kann der Grundversorger in ergänzenden Bedingungen regeln.</w:t>
      </w:r>
    </w:p>
    <w:p>
      <w:r>
        <w:rPr>
          <w:color w:val="555555"/>
          <w:sz w:val="17"/>
        </w:rPr>
        <w:t xml:space="preserve">Zitiervorschlag: § 7 GasGVV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https://recht.nulegal.eu/gesetze/GasGVV/7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