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GasGVV — Kalkulatorische Neuermittlung bei Änderungen staatlich gesetzter Belastungen</w:t>
      </w:r>
    </w:p>
    <w:p>
      <w:r>
        <w:rPr>
          <w:color w:val="555555"/>
          <w:sz w:val="18"/>
        </w:rPr>
        <w:t xml:space="preserve">Gasgrundversorgungsverordnung</w:t>
      </w:r>
    </w:p>
    <w:p>
      <w:r>
        <w:rPr>
          <w:color w:val="555555"/>
          <w:sz w:val="18"/>
        </w:rPr>
        <w:t xml:space="preserve">Stand: 10.06.2019 (konsolidierte Textfassung, kein amtliches Inkrafttretensdatum)</w:t>
      </w:r>
    </w:p>
    <w:p>
      <w:r>
        <w:t xml:space="preserve">(1) Bei Änderungen der Belastungen nach § 2 Absatz 3 Satz 1 Nummer 7, die in die Kalkulation des Allgemeinen Preises eingeflossen sind, ist der Grundversorger unter Beachtung der geltenden gesetzlichen Bestimmungen berechtigt, die Allgemeinen Preise jederzeit neu zu ermitteln und dabei die Änderung in das Ergebnis der Kalkulation einfließen zu lassen. Sinkt der Saldo der Belastungen nach § 2 Absatz 3 Satz 1 Nummer 7, ist der Grundversorger abweichend von Satz 1 verpflichtet, die Allgemeinen Preise unverzüglich neu zu ermitteln und dabei den gesunkenen Saldo in das Ergebnis der Kalkulation einfließen zu lassen.</w:t>
      </w:r>
    </w:p>
    <w:p>
      <w:r>
        <w:t xml:space="preserve">(2) Sonstige Rechte und Verpflichtungen zur Neukalkulation und die Rechte und Verpflichtungen in Bezug auf Änderungen der Allgemeinen Preise sowie die Pflichten des Grundversorgers nach § 5 Absatz 2 und die Rechte des Kunden nach § 5 Absatz 3 bleiben unberührt.</w:t>
      </w:r>
    </w:p>
    <w:p>
      <w:r>
        <w:rPr>
          <w:color w:val="555555"/>
          <w:sz w:val="17"/>
        </w:rPr>
        <w:t xml:space="preserve">Zitiervorschlag: § 5a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