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GasGVV — Bedarfsdeckung</w:t>
      </w:r>
    </w:p>
    <w:p>
      <w:r>
        <w:rPr>
          <w:color w:val="555555"/>
          <w:sz w:val="18"/>
        </w:rPr>
        <w:t xml:space="preserve">Gasgrundversorgungsverordnung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Kunde ist für die Dauer des Grundversorgungsvertrages verpflichtet, seinen gesamten leitungsgebundenen Gasbedarf aus den Gaslieferungen des Grundversorgers zu decken. Ausgenommen ist die Bedarfsdeckung durch Eigenanlagen zur Nutzung regenerativer Energiequellen.</w:t>
      </w:r>
    </w:p>
    <w:p>
      <w:r>
        <w:rPr>
          <w:color w:val="555555"/>
          <w:sz w:val="17"/>
        </w:rPr>
        <w:t xml:space="preserve">Zitiervorschlag: § 4 GasGVV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https://recht.nulegal.eu/gesetze/GasGVV/4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