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GasGVV — Zahlung, Verzug</w:t>
      </w:r>
    </w:p>
    <w:p>
      <w:r>
        <w:rPr>
          <w:color w:val="555555"/>
          <w:sz w:val="18"/>
        </w:rPr>
        <w:t xml:space="preserve">Gasgrundversorgungsverordnung</w:t>
      </w:r>
    </w:p>
    <w:p>
      <w:r>
        <w:rPr>
          <w:color w:val="555555"/>
          <w:sz w:val="18"/>
        </w:rPr>
        <w:t xml:space="preserve">Stand: 10.06.2019 (konsolidierte Textfassung, kein amtliches Inkrafttretensdatum)</w:t>
      </w:r>
    </w:p>
    <w:p>
      <w:r>
        <w:t xml:space="preserve">(1) Rechnungen und Abschläge werden zu dem vom Grundversorger angegebenen Zeitpunkt, frühestens jedoch zwei Wochen nach Zugang der Zahlungsaufforderung fällig. Einwände gegen Rechnungen und Abschlagsberechnungen berechtigen gegenüber dem Grundversorger zum Zahlungsaufschub oder zur Zahlungsverweigerung nur,</w:t>
      </w:r>
    </w:p>
    <w:p>
      <w:pPr>
        <w:ind w:left="420"/>
      </w:pPr>
      <w:r>
        <w:t xml:space="preserve">1. soweit die ernsthafte Möglichkeit eines offensichtlichen Fehlers besteht oder</w:t>
      </w:r>
    </w:p>
    <w:p>
      <w:pPr>
        <w:ind w:left="420"/>
      </w:pPr>
      <w:r>
        <w:t xml:space="preserve">2. sofern</w:t>
      </w:r>
    </w:p>
    <w:p>
      <w:pPr>
        <w:ind w:left="780"/>
      </w:pPr>
      <w:r>
        <w:t xml:space="preserve">a) der in einer Rechnung angegebene Verbrauch ohne ersichtlichen Grund mehr als doppelt so hoch wie der vergleichbare Verbrauch im vorherigen Abrechnungszeitraum ist und</w:t>
      </w:r>
    </w:p>
    <w:p>
      <w:pPr>
        <w:ind w:left="780"/>
      </w:pPr>
      <w:r>
        <w:t xml:space="preserve">b) der Kunde eine Nachprüfung der Messeinrichtung verlangt</w:t>
      </w:r>
    </w:p>
    <w:p>
      <w:pPr>
        <w:ind w:left="420"/>
      </w:pPr>
      <w:r>
        <w:t xml:space="preserve">und solange durch die Nachprüfung nicht die ordnungsgemäße Funktion des Messgeräts festgestellt ist.</w:t>
      </w:r>
    </w:p>
    <w:p>
      <w:r>
        <w:t xml:space="preserve">§ 315 des Bürgerlichen Gesetzbuchs bleibt von Satz 2 unberührt.</w:t>
      </w:r>
    </w:p>
    <w:p>
      <w:r>
        <w:t xml:space="preserve">(2) Bei Zahlungsverzug des Kunden kann der Grundversorger, wenn er erneut zur Zahlung auffordert oder den Betrag durch einen Beauftragten einziehen lässt, die dadurch entstandenen Kosten für strukturell vergleichbare Fälle pauschal berechnen; die pauschale Berechnung muss einfach nachvollziehbar sein. Die Pauschale darf die nach dem gewöhnlichen Lauf der Dinge zu erwartenden Kosten nicht übersteigen. Auf Verlangen des Kunden ist die Berechnungsgrundlage nachzuweisen.</w:t>
      </w:r>
    </w:p>
    <w:p>
      <w:r>
        <w:t xml:space="preserve">(3) Gegen Ansprüche des Grundversorgers kann vom Kunden nur mit unbestrittenen oder rechtskräftig festgestellten Gegenansprüchen aufgerechnet werden.</w:t>
      </w:r>
    </w:p>
    <w:p>
      <w:r>
        <w:rPr>
          <w:color w:val="555555"/>
          <w:sz w:val="17"/>
        </w:rPr>
        <w:t xml:space="preserve">Zitiervorschlag: § 17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