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GasGVV — Anwendungsbereich, Begriffsbestimmungen</w:t>
      </w:r>
    </w:p>
    <w:p>
      <w:r>
        <w:rPr>
          <w:color w:val="555555"/>
          <w:sz w:val="18"/>
        </w:rPr>
        <w:t xml:space="preserve">Gasgrundversorgungsverordnung</w:t>
      </w:r>
    </w:p>
    <w:p>
      <w:r>
        <w:rPr>
          <w:color w:val="555555"/>
          <w:sz w:val="18"/>
        </w:rPr>
        <w:t xml:space="preserve">Stand: 01.12.2021 (konsolidierte Textfassung, kein amtliches Inkrafttretensdatum)</w:t>
      </w:r>
    </w:p>
    <w:p>
      <w:r>
        <w:t xml:space="preserve">(1) Diese Verordnung regelt die Allgemeinen Bedingungen, zu denen Gasversorgungsunternehmen Haushaltskunden in Niederdruck im Rahmen der Grundversorgung nach § 36 Absatz 1 des Energiewirtschaftsgesetzes zu Allgemeinen Preisen mit Gas zu beliefern haben. Die Bestimmungen dieser Verordnung sind Bestandteil des Grundversorgungsvertrages zwischen Grundversorgern und Haushaltskunden. Diese Verordnung regelt zugleich die Bedingungen für die Ersatzversorgung nach § 38 Absatz 1 des Energiewirtschaftsgesetzes. Sie gilt für alle nach dem 12. Juli 2005 abgeschlossenen Versorgungsverträge, soweit diese nicht vor dem 8. November 2006 beendet worden sind.</w:t>
      </w:r>
    </w:p>
    <w:p>
      <w:r>
        <w:t xml:space="preserve">(2) Kunden im Sinne dieser Verordnung sind der Haushaltskunde und im Rahmen der Ersatzversorgung der Letztverbraucher.</w:t>
      </w:r>
    </w:p>
    <w:p>
      <w:r>
        <w:t xml:space="preserve">(3) Grundversorger im Sinne dieser Verordnung ist ein Gasversorgungsunternehmen, das nach § 36 Absatz 1 des Energiewirtschaftsgesetzes in einem Netzgebiet die Grundversorgung mit Gas durchführt.</w:t>
      </w:r>
    </w:p>
    <w:p>
      <w:r>
        <w:rPr>
          <w:color w:val="555555"/>
          <w:sz w:val="17"/>
        </w:rPr>
        <w:t xml:space="preserve">Zitiervorschlag: § 1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