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Eingangsformel GasGKErstV</w:t>
      </w:r>
    </w:p>
    <w:p>
      <w:r>
        <w:rPr>
          <w:color w:val="555555"/>
          <w:sz w:val="18"/>
        </w:rPr>
        <w:t xml:space="preserve">Gasgerätekostenerstattungsverordnung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Auf Grund des § 19a Absatz 3 Satz 6 des Energiewirtschaftsgesetzes, der durch Artikel 3 Nummer 2 Buchstabe c des Gesetzes vom 14. Dezember 2016 (BGBl. I S. 2874) eingefügt worden ist, verordnet das Bundesministerium für Wirtschaft und Energie im Einvernehmen mit dem Bundesministerium der Justiz und für Verbraucherschutz:</w:t>
      </w:r>
    </w:p>
    <w:p>
      <w:r>
        <w:rPr>
          <w:color w:val="555555"/>
          <w:sz w:val="17"/>
        </w:rPr>
        <w:t xml:space="preserve">Zitiervorschlag: Eingangsformel GasGKErstV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https://recht.nulegal.eu/gesetze/GasGKErstV/eingangsformel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