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GasGKErstV — Inkrafttreten</w:t>
      </w:r>
    </w:p>
    <w:p>
      <w:r>
        <w:rPr>
          <w:color w:val="555555"/>
          <w:sz w:val="18"/>
        </w:rPr>
        <w:t xml:space="preserve">Gasgerätekostenerstattungsverordnung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mit Wirkung vom 1. Januar 2017 in Kraft.</w:t>
      </w:r>
    </w:p>
    <w:p>
      <w:r>
        <w:rPr>
          <w:color w:val="555555"/>
          <w:sz w:val="17"/>
        </w:rPr>
        <w:t xml:space="preserve">Zitiervorschlag: § 2 GasGKErstV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https://recht.nulegal.eu/gesetze/GasGKErstV/2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