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GartMstrV — Bestehen der Meisterprüfung</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(1) Die drei Prüfungsteile sind gesondert zu bewerten. Für den Teil "Produktion, Dienstleistung und Vermarktung" ist eine Note als arithmetisches Mittel aus den Bewertungen der Leistungen in der Prüfung gemäß § 3 Abs. 4 und in der Prüfung gemäß § 3 Abs. 5 zu bilden; dabei hat die Note in der Prüfung gemäß § 3 Abs. 4 das doppelte Gewicht. Für den Teil "Betriebs- und Unternehmensführung" ist eine Note als arithmetisches Mittel aus den Bewertungen der Leistungen in der Prüfung gemäß § 4 Abs. 4 und in der Prüfung gemäß § 4 Abs. 5 zu bilden; dabei hat die Note in der Prüfung gemäß § 4 Abs. 4 das doppelte Gewicht. Für den Teil „Berufsausbildung und Mitarbeiterführung“ ist eine Note als arithmetisches Mittel aus den Bewertungen der Leistungen in den Prüfungen nach § 5 Absatz 10 und 11 im Abschnitt Berufsausbildung sowie der Leistung in der Prüfung nach § 5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5 Absatz 10 und in der Prüfung nach § 5 Absatz 11 zu bilden; dabei hat die Note in der Prüfung nach § 5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der Prüfungsteilnehmer in jedem Prüfungsteil mindestens die Note "ausreichend" erzielt hat. Sie ist nicht bestanden, wenn in der gesamten Prüfung mindestens eine der Leistungen in den Prüfungen gemäß Absatz 1 mit "ungenügend" oder mehr als eine dieser Leistungen mit "mangelhaft" benotet worden ist.</w:t>
      </w:r>
    </w:p>
    <w:p>
      <w:r>
        <w:t xml:space="preserve">(4) Die Prüfungen nach § 3 Absatz 5, § 4 Absatz 5 und § 5 Absatz 11 sind jeweils durch eine mündliche Prüfung zu ergänzen, wenn diese für das Bestehen der Prüfung den Ausschlag geben kann. Die Ergänzungsprüfung soll jeweils nicht länger als 30 Minuten dauern. Bei der Ermittlung des Ergebnisses sind jeweils die bisherige Note der Prüfung und die Note der Ergänzungsprüfung im Verhältnis von 2:1 zu gewichten.</w:t>
      </w:r>
    </w:p>
    <w:p>
      <w:r>
        <w:rPr>
          <w:color w:val="555555"/>
          <w:sz w:val="17"/>
        </w:rPr>
        <w:t xml:space="preserve">Zitiervorschlag: § 7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