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GartMstrV — Gliederung der Meisterprüfung, Wahl der Fachrichtung</w:t>
      </w:r>
    </w:p>
    <w:p>
      <w:r>
        <w:rPr>
          <w:color w:val="555555"/>
          <w:sz w:val="18"/>
        </w:rPr>
        <w:t xml:space="preserve">Verordnung über die Anforderungen in der Meisterprüfung für den Beruf Gärtner/Gärtnerin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Meisterprüfung umfaßt die Teile</w:t>
      </w:r>
    </w:p>
    <w:p>
      <w:pPr>
        <w:ind w:left="420"/>
      </w:pPr>
      <w:r>
        <w:t xml:space="preserve">1. Produktion, Dienstleistung und Vermarktung,</w:t>
      </w:r>
    </w:p>
    <w:p>
      <w:pPr>
        <w:ind w:left="420"/>
      </w:pPr>
      <w:r>
        <w:t xml:space="preserve">2. Betriebs- und Unternehmensführung,</w:t>
      </w:r>
    </w:p>
    <w:p>
      <w:pPr>
        <w:ind w:left="420"/>
      </w:pPr>
      <w:r>
        <w:t xml:space="preserve">3. Berufsausbildung und Mitarbeiterführung.</w:t>
      </w:r>
    </w:p>
    <w:p>
      <w:r>
        <w:t xml:space="preserve">(2) Der Prüfungsteilnehmer kann eine der Fachrichtungen Baumschule, Friedhofsgärtnerei, Garten- und Landschaftsbau, Gemüsebau, Obstbau, Staudengärtnerei oder Zierpflanzenbau wählen. In der Prüfung sind die Fähigkeiten und Berufserfahrungen des Prüfungsteilnehmers in der von ihm gewählten Fachrichtung angemessen zu berücksichtigen.</w:t>
      </w:r>
    </w:p>
    <w:p>
      <w:r>
        <w:t xml:space="preserve">(3) Die Meisterprüfung ist nach Maßgabe der §§ 3 bis 5 durchzuführen. Die Prüfungsaufgaben sollen sich auf betriebliche Situationen beziehen.</w:t>
      </w:r>
    </w:p>
    <w:p>
      <w:r>
        <w:rPr>
          <w:color w:val="555555"/>
          <w:sz w:val="17"/>
        </w:rPr>
        <w:t xml:space="preserve">Zitiervorschlag: § 2 GartMstrV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https://recht.nulegal.eu/gesetze/GartMstrV/2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