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GartMstrV — Ziel der Meisterprüfung und Bezeichnung des Abschlusses</w:t>
      </w:r>
    </w:p>
    <w:p>
      <w:r>
        <w:rPr>
          <w:color w:val="555555"/>
          <w:sz w:val="18"/>
        </w:rPr>
        <w:t xml:space="preserve">Verordnung über die Anforderungen in der Meisterprüfung für den Beruf Gärtner/Gärtnerin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Meisterprüfung ist festzustellen, ob der Prüfungsteilnehmer die notwendigen Fähigkeiten und Erfahrungen besitzt, folgende Aufgaben eines Gärtnermeisters/einer Gärtnermeisterin als Fach- und Führungskraft wahrzunehmen:</w:t>
      </w:r>
    </w:p>
    <w:p>
      <w:pPr>
        <w:ind w:left="420"/>
      </w:pPr>
      <w:r>
        <w:t xml:space="preserve">1. Produktion, Dienstleistung und Vermarktung:Erstellen von Planungen und Kalkulationen für die Produktion oder für Dienstleistungen unter Beachtung der Betriebs- und Marktverhältnisse; Entscheiden über Art und Zeitpunkt der Maßnahmen in Produktion oder Dienstleistung; Durchführen der Arbeiten in diesen Bereichen unter Beachtung der Anforderungen des Marktes und der Belange des Umweltschutzes; Kontrollieren und Beurteilen von Pflanzenbeständen oder gärtnerischen Anlagen; Vermarkten von Erzeugnissen oder Dienstleistungen; Durchführen der erforderlichen Maßnahmen des Arbeitsschutzes und der Unfallverhütung in Zusammenarbeit mit den mit der Arbeitssicherheit befaßten Stellen;</w:t>
      </w:r>
    </w:p>
    <w:p>
      <w:pPr>
        <w:ind w:left="420"/>
      </w:pPr>
      <w:r>
        <w:t xml:space="preserve">2. Betriebs- und Unternehmensführung:kaufmännische Disposition beim Beschaffen von Betriebsmitteln sowie beim Arbeits-, Material- und Maschineneinsatz; ökonomische Kontrolle der Betriebsteile und des Gesamtbetriebes, Analysieren und Planen der betrieblichen Abläufe und der Betriebsorganisation nach wirtschaftlichen Gesichtspunkten und unter Beachtung sozialer, ökologischer und rechtlicher Erfordernisse; Planen und Kalkulieren von Investitionen sowie Ermitteln und Beurteilen von deren Kosten; Zusammenarbeiten mit Marktpartnern und anderen Betrieben; Nutzen der Möglichkeiten der Information und Beratung;</w:t>
      </w:r>
    </w:p>
    <w:p>
      <w:pPr>
        <w:ind w:left="420"/>
      </w:pPr>
      <w:r>
        <w:t xml:space="preserve">3. Berufsausbildung und Mitarbeiterführung:Prüfen der betrieblichen und persönlichen Ausbildungsvoraussetzungen; Planen der Ausbildung unter inhaltlichen, methodischen und zeitlichen Aspekten entsprechend der Vorgaben der Ausbildungsordnung; Auswählen und Einstellen von Auszubildenden; Durchführen der Ausbildung unter Anwenden geeigneter Methoden bei der Vermittlung von Ausbildungsinhalten; Hinführen der Auszubildenden zu selbständigem Handeln, Vorbereiten auf Prüfungen, Informieren und Beraten über Fortbildungsmöglichkeiten; Auswählen und Einstellen von Mitarbeitern; Übertragen von Aufgaben auf Mitarbeiter entsprechend ihrer Leistungsfähigkeit, Qualifikation und Eignung; Anleiten und Kontrollieren von Mitarbeitern in Arbeitsprozessen, kooperatives Führen, Fördern und Motivieren; Unterstützen der beruflichen Weiterbildung von Mitarbeitern.</w:t>
      </w:r>
    </w:p>
    <w:p>
      <w:r>
        <w:t xml:space="preserve">(2) Die erfolgreich abgelegte Prüfung führt zum anerkannten Abschluß Gärtnermeister/Gärtnermeisterin mit Angabe der gewählten Fachrichtung.</w:t>
      </w:r>
    </w:p>
    <w:p>
      <w:r>
        <w:rPr>
          <w:color w:val="555555"/>
          <w:sz w:val="17"/>
        </w:rPr>
        <w:t xml:space="preserve">Zitiervorschlag: § 1 GartMstrV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https://recht.nulegal.eu/gesetze/GartMstrV/1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