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GartAusbStEignV — Inkrafttreten, Außerkrafttreten</w:t>
      </w:r>
    </w:p>
    <w:p>
      <w:r>
        <w:rPr>
          <w:color w:val="555555"/>
          <w:sz w:val="18"/>
        </w:rPr>
        <w:t xml:space="preserve">Verordnung über die Eignung der Ausbildungsstätte für die Berufsausbildung zum Gärtner/zur Gärtnerin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5 GartAusbStEignV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https://recht.nulegal.eu/gesetze/GartAusbStEignV/5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