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GarBBAnO — Trennwände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Trennwände und Tore im Innern von Mittel- und Großgaragen müssen aus nichtbrennbaren Baustoffen bestehen oder feuerbeständig sein.</w:t>
      </w:r>
    </w:p>
    <w:p>
      <w:r>
        <w:t xml:space="preserve">(2) Trennwände zwischen Garagen und nicht zu Garagen gehörenden Räumen sowie Trennwände zwischen Garagen und anderen Gebäuden müssen</w:t>
      </w:r>
    </w:p>
    <w:p>
      <w:pPr>
        <w:ind w:left="420"/>
      </w:pPr>
      <w:r>
        <w:t xml:space="preserve">1. bei Mittel- und Großgaragen feuerbeständig sein,</w:t>
      </w:r>
    </w:p>
    <w:p>
      <w:pPr>
        <w:ind w:left="420"/>
      </w:pPr>
      <w:r>
        <w:t xml:space="preserve">2. bei Kleingaragen mindestens feuerhemmend sein,</w:t>
      </w:r>
    </w:p>
    <w:p>
      <w:r>
        <w:t xml:space="preserve">soweit sich aus § 28 BauO keine weitergehenden Anforderungen ergeben.</w:t>
      </w:r>
    </w:p>
    <w:p>
      <w:r>
        <w:t xml:space="preserve">(3) Absatz 2 gilt nicht für Trennwände</w:t>
      </w:r>
    </w:p>
    <w:p>
      <w:pPr>
        <w:ind w:left="420"/>
      </w:pPr>
      <w:r>
        <w:t xml:space="preserve">1. zwischen Kleingaragen und Räumen oder Gebäuden, die nur Abstellzwecken dienen und nicht mehr als 20 qm Grundfläche haben,</w:t>
      </w:r>
    </w:p>
    <w:p>
      <w:pPr>
        <w:ind w:left="420"/>
      </w:pPr>
      <w:r>
        <w:t xml:space="preserve">2. zwischen offenen Kleingaragen und anders genutzten Räumen oder Gebäuden.</w:t>
      </w:r>
    </w:p>
    <w:p>
      <w:r>
        <w:rPr>
          <w:color w:val="555555"/>
          <w:sz w:val="17"/>
        </w:rPr>
        <w:t xml:space="preserve">Zitiervorschlag: § 8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