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GarBBAnO — Tragende Wände, Decken, Dächer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Tragende Wände von Garagen sowie Decken über und unter Garagen und zwischen Garagengeschossen müssen feuerbeständig sein.</w:t>
      </w:r>
    </w:p>
    <w:p>
      <w:r>
        <w:t xml:space="preserve">(2) Liegen Einstellplätze nicht mehr als 22 m über der Geländeoberfläche, so brauchen Wände und Decken nach Absatz 1</w:t>
      </w:r>
    </w:p>
    <w:p>
      <w:pPr>
        <w:ind w:left="420"/>
      </w:pPr>
      <w:r>
        <w:t xml:space="preserve">1. bei oberirdischen Mittel- und Großgaragen nur feuerhemmend und aus nichtbrennbaren Baustoffen zu sein, soweit sich aus den §§ 26 und 30 BauO keine weitergehenden Anforderungen ergeben;</w:t>
      </w:r>
    </w:p>
    <w:p>
      <w:pPr>
        <w:ind w:left="420"/>
      </w:pPr>
      <w:r>
        <w:t xml:space="preserve">2. bei offenen Mittel- und Großgaragen in Gebäuden, die allein der Garagennutzung dienen, nur aus nichtbrennbaren Baustoffen zu bestehen.</w:t>
      </w:r>
    </w:p>
    <w:p>
      <w:r>
        <w:t xml:space="preserve">(3) Wände und Decken nach Absatz 1 brauchen nur feuerhemmend zu sein oder aus nichtbrennbaren Baustoffen zu bestehen</w:t>
      </w:r>
    </w:p>
    <w:p>
      <w:pPr>
        <w:ind w:left="420"/>
      </w:pPr>
      <w:r>
        <w:t xml:space="preserve">1. bei eingeschossigen oberirdischen Mittel- und Großgaragen auch mit Dacheinstellplätzen, wenn das Gebäude allein der Garagennutzung dient,</w:t>
      </w:r>
    </w:p>
    <w:p>
      <w:pPr>
        <w:ind w:left="420"/>
      </w:pPr>
      <w:r>
        <w:t xml:space="preserve">2. bei Kleingaragen, soweit sich aus den §§ 26 und 30 BauO keine weitergehenden Anforderungen ergeben.</w:t>
      </w:r>
    </w:p>
    <w:p>
      <w:r>
        <w:t xml:space="preserve">(4) Die Anforderungen nach den Absätzen 1 und 3 Nr. 2 gelten nicht für Kleingaragen, wenn</w:t>
      </w:r>
    </w:p>
    <w:p>
      <w:pPr>
        <w:ind w:left="420"/>
      </w:pPr>
      <w:r>
        <w:t xml:space="preserve">1. die Gebäude allein der Garagennutzung dienen</w:t>
      </w:r>
    </w:p>
    <w:p>
      <w:pPr>
        <w:ind w:left="420"/>
      </w:pPr>
      <w:r>
        <w:t xml:space="preserve">2. die Garagen offene Kleingaragen sind oder</w:t>
      </w:r>
    </w:p>
    <w:p>
      <w:pPr>
        <w:ind w:left="420"/>
      </w:pPr>
      <w:r>
        <w:t xml:space="preserve">3. die Kleingaragen in Gebäuden liegen, an deren tragende oder aussteifende Wände und Decken keine Anforderungen hinsichtlich des Brandschutzes gestellt werden.</w:t>
      </w:r>
    </w:p>
    <w:p>
      <w:r>
        <w:t xml:space="preserve">In den Fällen des Satzes 1 Nr. 1 bleiben Abstellräume mit nicht mehr als 20 qm Grundfläche unberücksichtigt.</w:t>
      </w:r>
    </w:p>
    <w:p>
      <w:r>
        <w:t xml:space="preserve">(5) Für befahrbare Dächer von Garagen gelten die Anforderungen an Decken.</w:t>
      </w:r>
    </w:p>
    <w:p>
      <w:r>
        <w:t xml:space="preserve">(6) Untere Verkleidungen und Dämmschichten von Decken und Dächern über Garagen müssen</w:t>
      </w:r>
    </w:p>
    <w:p>
      <w:pPr>
        <w:ind w:left="420"/>
      </w:pPr>
      <w:r>
        <w:t xml:space="preserve">1. bei Großgaragen aus nichtbrennbaren Baustoffen bestehen,</w:t>
      </w:r>
    </w:p>
    <w:p>
      <w:pPr>
        <w:ind w:left="420"/>
      </w:pPr>
      <w:r>
        <w:t xml:space="preserve">2. bei Mittelgaragen mindestens schwerentflammbar sein.</w:t>
      </w:r>
    </w:p>
    <w:p>
      <w:r>
        <w:rPr>
          <w:color w:val="555555"/>
          <w:sz w:val="17"/>
        </w:rPr>
        <w:t xml:space="preserve">Zitiervorschlag: § 6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