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GarBBAnO — Inkrafttreten</w:t>
      </w:r>
    </w:p>
    <w:p>
      <w:r>
        <w:rPr>
          <w:color w:val="555555"/>
          <w:sz w:val="18"/>
        </w:rPr>
        <w:t xml:space="preserve">Anordnung über den Bau und Betrieb von Garagen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Anordnung tritt am Tage nach der Veröffentlichung in Kraft.</w:t>
      </w:r>
    </w:p>
    <w:p>
      <w:r>
        <w:rPr>
          <w:color w:val="555555"/>
          <w:sz w:val="17"/>
        </w:rPr>
        <w:t xml:space="preserve">Zitiervorschlag: § 25 GarBBAnO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https://recht.nulegal.eu/gesetze/GarBBAnO/25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