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GarBBAnO — Ordnungswidrigkeiten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nach § 81 Abs. 1 BauO handelt, wer vorsätzlich oder fahrlässig</w:t>
      </w:r>
    </w:p>
    <w:p>
      <w:pPr>
        <w:ind w:left="420"/>
      </w:pPr>
      <w:r>
        <w:t xml:space="preserve">1. entgegen § 15 Abs. 4 maschinelle Lüftungsanlagen so betreibt, daß der genannte Wert des CO-Gehaltes der Luft überschritten wird,</w:t>
      </w:r>
    </w:p>
    <w:p>
      <w:pPr>
        <w:ind w:left="420"/>
      </w:pPr>
      <w:r>
        <w:t xml:space="preserve">2. entgegen § 18 Abs. 1 geschlossene Mittel- und Großgaragen nicht ständig beleuchtet,</w:t>
      </w:r>
    </w:p>
    <w:p>
      <w:pPr>
        <w:ind w:left="420"/>
      </w:pPr>
      <w:r>
        <w:t xml:space="preserve">3. entgegen § 21 Abs. 1 die vorgeschriebenen Prüfungen nicht oder nicht rechtzeitig durchführen läßt.</w:t>
      </w:r>
    </w:p>
    <w:p>
      <w:r>
        <w:rPr>
          <w:color w:val="555555"/>
          <w:sz w:val="17"/>
        </w:rPr>
        <w:t xml:space="preserve">Zitiervorschlag: § 23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