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GarBBAnO — Zusätzliche Bauvorlagen</w:t>
      </w:r>
    </w:p>
    <w:p>
      <w:r>
        <w:rPr>
          <w:color w:val="555555"/>
          <w:sz w:val="18"/>
        </w:rPr>
        <w:t xml:space="preserve">Anordnung über den Bau und Betrieb von Garagen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Bauvorlagen müssen zusätzliche Angaben enthalten über:</w:t>
      </w:r>
    </w:p>
    <w:p>
      <w:pPr>
        <w:ind w:left="420"/>
      </w:pPr>
      <w:r>
        <w:t xml:space="preserve">1. die Zahl, Abmessung und Kennzeichnung der Einstellplätze und Fahrgassen,</w:t>
      </w:r>
    </w:p>
    <w:p>
      <w:pPr>
        <w:ind w:left="420"/>
      </w:pPr>
      <w:r>
        <w:t xml:space="preserve">2. die Brandmelde- und Feuerlöschanlagen,</w:t>
      </w:r>
    </w:p>
    <w:p>
      <w:pPr>
        <w:ind w:left="420"/>
      </w:pPr>
      <w:r>
        <w:t xml:space="preserve">3. die CO-Warnanlagen,</w:t>
      </w:r>
    </w:p>
    <w:p>
      <w:pPr>
        <w:ind w:left="420"/>
      </w:pPr>
      <w:r>
        <w:t xml:space="preserve">4. die Lüftungsanlagen,</w:t>
      </w:r>
    </w:p>
    <w:p>
      <w:pPr>
        <w:ind w:left="420"/>
      </w:pPr>
      <w:r>
        <w:t xml:space="preserve">5. die Sicherheitsbeleuchtung.</w:t>
      </w:r>
    </w:p>
    <w:p>
      <w:r>
        <w:rPr>
          <w:color w:val="555555"/>
          <w:sz w:val="17"/>
        </w:rPr>
        <w:t xml:space="preserve">Zitiervorschlag: § 20 GarBBAnO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https://recht.nulegal.eu/gesetze/GarBBAnO/20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