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GarBBAnO — Abstellen von Kraftfahrzeugen in anderen Räumen als Garagen</w:t>
      </w:r>
    </w:p>
    <w:p>
      <w:r>
        <w:rPr>
          <w:color w:val="555555"/>
          <w:sz w:val="18"/>
        </w:rPr>
        <w:t xml:space="preserve">Anordnung über den Bau und Betrieb von Garagen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Kraftfahrzeuge dürfen in Treppenräumen, Fluren und Kellergängen nicht abgestellt werden.</w:t>
      </w:r>
    </w:p>
    <w:p>
      <w:r>
        <w:t xml:space="preserve">(2) Kraftfahrzeuge dürfen in sonstigen Räumen, die keine Garagen sind, nur abgestellt werden, wenn</w:t>
      </w:r>
    </w:p>
    <w:p>
      <w:pPr>
        <w:ind w:left="420"/>
      </w:pPr>
      <w:r>
        <w:t xml:space="preserve">1. das Gesamtfassungsvermögen der Kraftstoffbehälter aller abgestellten Kraftfahrzeuge nicht mehr als 12 l beträgt,</w:t>
      </w:r>
    </w:p>
    <w:p>
      <w:pPr>
        <w:ind w:left="420"/>
      </w:pPr>
      <w:r>
        <w:t xml:space="preserve">2. Kraftstoff außer dem Inhalt der Kraftstoffbehälter abgestellter Kraftfahrzeuge in diesen Räumen nicht aufbewahrt wird und</w:t>
      </w:r>
    </w:p>
    <w:p>
      <w:pPr>
        <w:ind w:left="420"/>
      </w:pPr>
      <w:r>
        <w:t xml:space="preserve">3. diese Räume keine Zündquellen oder leicht entzündlichen Stoffe enthalten und von Räumen mit Feuerstätten oder leicht entzündlichen Stoffen durch Türen abgetrennt sind oder</w:t>
      </w:r>
    </w:p>
    <w:p>
      <w:pPr>
        <w:ind w:left="420"/>
      </w:pPr>
      <w:r>
        <w:t xml:space="preserve">4. die Kraftfahrzeuge Arbeitsmaschinen sind.</w:t>
      </w:r>
    </w:p>
    <w:p>
      <w:r>
        <w:rPr>
          <w:color w:val="555555"/>
          <w:sz w:val="17"/>
        </w:rPr>
        <w:t xml:space="preserve">Zitiervorschlag: § 19 GarBBAnO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https://recht.nulegal.eu/gesetze/GarBBAnO/19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