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GarBBAnO — Betriebsvorschriften für Garagen</w:t>
      </w:r>
    </w:p>
    <w:p>
      <w:r>
        <w:rPr>
          <w:color w:val="555555"/>
          <w:sz w:val="18"/>
        </w:rPr>
        <w:t xml:space="preserve">Anordnung über den Bau und Betrieb von Garagen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Mittel- und Großgaragen muß die allgemeine elektrische Beleuchtung nach § 14 Absatz 1 während der Benutzungszeit ständig mit einer Beleuchtungsstärke von mindestens 20 Lux eingeschaltet sein, soweit nicht Tageslicht mit einer entsprechenden Beleuchtungsstärke vorhanden ist.</w:t>
      </w:r>
    </w:p>
    <w:p>
      <w:r>
        <w:t xml:space="preserve">(2) Maschinelle Lüftungsanlagen und CO-Warnanlagen müssen so gewartet werden, daß sie ständig betriebsbereit sind.</w:t>
      </w:r>
    </w:p>
    <w:p>
      <w:r>
        <w:t xml:space="preserve">(3) CO-Warnanlagen müssen ständig eingeschaltet sein.</w:t>
      </w:r>
    </w:p>
    <w:p>
      <w:r>
        <w:t xml:space="preserve">(4) In Mittel- und Großgaragen dürfen brennbare Stoffe außerhalb von Kraftfahrzeugen nicht aufbewahrt werden. In Kleingaragen dürfen bis zu 200 l Dieselkraftstoff und bis zu 20 l Benzin in dicht verschlossenen, bruchsicheren Behältern aufbewahrt werden.</w:t>
      </w:r>
    </w:p>
    <w:p>
      <w:r>
        <w:rPr>
          <w:color w:val="555555"/>
          <w:sz w:val="17"/>
        </w:rPr>
        <w:t xml:space="preserve">Zitiervorschlag: § 18 GarBBAnO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https://recht.nulegal.eu/gesetze/GarBBAnO/18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