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GarBBAnO — Brandmeldeanlagen</w:t>
      </w:r>
    </w:p>
    <w:p>
      <w:r>
        <w:rPr>
          <w:color w:val="555555"/>
          <w:sz w:val="18"/>
        </w:rPr>
        <w:t xml:space="preserve">Anordnung über den Bau und Betrieb von Garagen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Geschlossene Mittel- und Großgaragen müssen Brandmeldeanlagen haben, wenn sie in Verbindung stehen mit baulichen Anlagen oder Räumen, für die Brandmeldeanlagen erforderlich sind.</w:t>
      </w:r>
    </w:p>
    <w:p>
      <w:r>
        <w:rPr>
          <w:color w:val="555555"/>
          <w:sz w:val="17"/>
        </w:rPr>
        <w:t xml:space="preserve">Zitiervorschlag: § 17 GarBBAnO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https://recht.nulegal.eu/gesetze/GarBBAnO/17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