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GarBBAnO — Beleuchtung</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In Mittel- und Großgaragen muß eine allgemeine elektrische Beleuchtung vorhanden sein. Sie muß so beschaffen und mindestens in zwei Stufen derartig schaltbar sein, daß an allen Stellen der Nutzflächen und Rettungswege in der ersten Stufe eine Beleuchtungsstärke von mindestens 1 Lux und in der zweiten Stufe von mindestens 20 Lux erreicht wird.</w:t>
      </w:r>
    </w:p>
    <w:p>
      <w:r>
        <w:t xml:space="preserve">(2) In geschlossenen Großgaragen, ausgenommen eingeschossige Großgaragen mit festem Benutzerkreis, muß zur Beleuchtung der Rettungswege eine Sicherheitsbeleuchtung vorhanden sein. Diese muß eine vom Versorgungsnetz unabhängige, bei Ausfall des Netzstromes sich selbsttätig innerhalb von 15 Sekunden einschaltende Ersatzstromquelle haben, die für einen mindestens einstündigen Betrieb ausgelegt ist. Die Beleuchtungsstärke der Sicherheitsbeleuchtung muß mindestens 1 Lux betragen.</w:t>
      </w:r>
    </w:p>
    <w:p>
      <w:r>
        <w:rPr>
          <w:color w:val="555555"/>
          <w:sz w:val="17"/>
        </w:rPr>
        <w:t xml:space="preserve">Zitiervorschlag: § 14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