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GarBBAnO — Rauchabschnitte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Geschlossene Garagen müssen durch mindestens feuerhemmende, aus nichtbrennbaren Baustoffen bestehende Wände in Rauchabschnitte unterteilt sein. Die Nutzfläche eines Rauchabschnittes darf</w:t>
      </w:r>
    </w:p>
    <w:p>
      <w:pPr>
        <w:ind w:left="420"/>
      </w:pPr>
      <w:r>
        <w:t xml:space="preserve">1. in oberirdischen geschlossenen Garagen höchstens 5.000 qm,</w:t>
      </w:r>
    </w:p>
    <w:p>
      <w:pPr>
        <w:ind w:left="420"/>
      </w:pPr>
      <w:r>
        <w:t xml:space="preserve">2. in sonstigen geschlossenen Garagen höchstens 2.500 qm</w:t>
      </w:r>
    </w:p>
    <w:p>
      <w:r>
        <w:t xml:space="preserve">betragen; sie darf höchstens doppelt so groß sein, wenn die Garagen selbsttätige Feuerlöschanlagen haben. Ein Rauchabschnitt darf sich auch über mehrere Geschosse erstrecken.</w:t>
      </w:r>
    </w:p>
    <w:p>
      <w:r>
        <w:t xml:space="preserve">(2) Öffnungen in den Wänden zwischen den Rauchabschnitten müssen mit selbstschließenden und mindestens feuerhemmenden Abschlüssen versehen sein. Die Abschlüsse müssen Haltevorrichtungen haben, die bei Raucheinwirkung ein selbsttätiges Schließen bewirken; sie müssen auch von Hand geschlossen werden können.</w:t>
      </w:r>
    </w:p>
    <w:p>
      <w:r>
        <w:t xml:space="preserve">(3) § 29 Abs. 1 Nr. 2 BauO gilt nicht für Garagen.</w:t>
      </w:r>
    </w:p>
    <w:p>
      <w:r>
        <w:rPr>
          <w:color w:val="555555"/>
          <w:sz w:val="17"/>
        </w:rPr>
        <w:t xml:space="preserve">Zitiervorschlag: § 11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