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GalvMstrV 2015 — Prüfungsdauer und Bestehen des Teils I</w:t>
      </w:r>
    </w:p>
    <w:p>
      <w:r>
        <w:rPr>
          <w:color w:val="555555"/>
          <w:sz w:val="18"/>
        </w:rPr>
        <w:t xml:space="preserve">Galvaniseurmeisterverordnung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Meisterprüfungsprojekt dauert zwei Arbeitstage. Das Fachgespräch soll höchstens 30 Minuten und die Situationsaufgabe höchstens 12 Stunden dauern.</w:t>
      </w:r>
    </w:p>
    <w:p>
      <w:r>
        <w:t xml:space="preserve">(2) Das Meisterprüfungsprojekt, das Fachgespräch und die Situationsaufgabe werden gesondert bewertet. Die Prüfungsleistungen im Meisterprüfungsprojekt und im Fachgespräch werden im Verhältnis 3 : 1 gewichtet. Hieraus wird eine Gesamtbewertung gebildet. Das hieraus resultierende Ergebnis wird zum Prüfungsergebnis der Situationsaufgabe im Verhältnis 2 : 1 gewichtet.</w:t>
      </w:r>
    </w:p>
    <w:p>
      <w:r>
        <w:t xml:space="preserve">(3) Voraussetzung für das Bestehen des Teils I der Meisterprüfung ist eine insgesamt mindestens ausreichende Prüfungsleistung, wobei das Meisterprüfungsprojekt, das Fachgespräch und die Situationsaufgabe jeweils mit mindestens 30 Punkten bewertet worden sein müssen.</w:t>
      </w:r>
    </w:p>
    <w:p>
      <w:r>
        <w:rPr>
          <w:color w:val="555555"/>
          <w:sz w:val="17"/>
        </w:rPr>
        <w:t xml:space="preserve">Zitiervorschlag: § 7 GalvMstrV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https://recht.nulegal.eu/gesetze/GalvMstrV%202015/7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