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GalvMstrV 2015 — Ziel und Gliederung des Teils I</w:t>
      </w:r>
    </w:p>
    <w:p>
      <w:r>
        <w:rPr>
          <w:color w:val="555555"/>
          <w:sz w:val="18"/>
        </w:rPr>
        <w:t xml:space="preserve">Galvaniseurmeisterverordnung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der Prüfung in Teil I hat der Prüfling seine berufliche Handlungskompetenz dadurch nachzuweisen, dass er komplexe berufliche Aufgabenstellungen lösen und dabei Tätigkeiten des Galvaniseur-Handwerks meisterhaft verrichten kann.</w:t>
      </w:r>
    </w:p>
    <w:p>
      <w:r>
        <w:t xml:space="preserve">(2) Teil I der Meisterprüfung gliedert sich in folgende Prüfungsbereiche:</w:t>
      </w:r>
    </w:p>
    <w:p>
      <w:pPr>
        <w:ind w:left="420"/>
      </w:pPr>
      <w:r>
        <w:t xml:space="preserve">1. Durchführung eines Meisterprüfungsprojekts und ein darauf bezogenes Fachgespräch sowie</w:t>
      </w:r>
    </w:p>
    <w:p>
      <w:pPr>
        <w:ind w:left="420"/>
      </w:pPr>
      <w:r>
        <w:t xml:space="preserve">2. Durchführung einer Situationsaufgabe.</w:t>
      </w:r>
    </w:p>
    <w:p>
      <w:r>
        <w:rPr>
          <w:color w:val="555555"/>
          <w:sz w:val="17"/>
        </w:rPr>
        <w:t xml:space="preserve">Zitiervorschlag: § 3 GalvMstrV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https://recht.nulegal.eu/gesetze/GalvMstrV%202015/3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