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GaStellV (Bayern)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90 Abs. 1 Nrn. 1 und 3 der Bayerischen Bauordnung (BayBO) in der Fassung der Bekanntmachung vom 4. August 1997 (GVBl. S. 433, BayRS 2132–1–I) und Art. 38 Abs. 3 des Landesstraf- und Verordnungsgesetzes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