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GaStellV (Bayern) — Brandwände als Gebäudeabschlusswand</w:t>
      </w:r>
    </w:p>
    <w:p>
      <w:r>
        <w:rPr>
          <w:color w:val="555555"/>
          <w:sz w:val="18"/>
        </w:rPr>
        <w:t xml:space="preserve">Garagen- und Stellplatzverordnung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In den Fällen des Art. 28 Abs. 2 Satz 1 Nr. 1 und Satz 2 BayBO genügen</w:t>
      </w:r>
    </w:p>
    <w:p>
      <w:r>
        <w:t xml:space="preserve">1. bei eingeschossigen oberirdischen Mittel- und Großgaragen feuerbeständige Wände ohne Öffnungen, wenn das Gebäude allein der Garagennutzung dient,</w:t>
      </w:r>
    </w:p>
    <w:p>
      <w:r>
        <w:t xml:space="preserve">2. bei geschlossenen Kleingaragen einschließlich Abstellräumen mit nicht mehr als 20 m 2 Grundfläche mindestens feuerhemmende oder aus nichtbrennbaren Baustoffen bestehende Wände ohne Öffnungen.</w:t>
      </w:r>
    </w:p>
    <w:p>
      <w:r>
        <w:t xml:space="preserve">(2) Art. 28 Abs. 2 Satz 1 Nr. 1 und Satz 2 BayBO gilt nicht für offene Kleingaragen.</w:t>
      </w:r>
    </w:p>
    <w:p>
      <w:r>
        <w:rPr>
          <w:color w:val="555555"/>
          <w:sz w:val="17"/>
        </w:rPr>
        <w:t xml:space="preserve">Zitiervorschlag: § 9 GaStellV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https://recht.nulegal.eu/gesetze/GaStellV/9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