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GaStellV (Bayern) — Trennwände</w:t>
      </w:r>
    </w:p>
    <w:p>
      <w:r>
        <w:rPr>
          <w:color w:val="555555"/>
          <w:sz w:val="18"/>
        </w:rPr>
        <w:t xml:space="preserve">Garagen- und Stellplatzverordnung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Zwischen Garagen und anders genutzten Gebäuden sind feuerbeständige Trennwände erforderlich. Für geschlossene Kleingaragen einschließlich Abstellräumen mit nicht mehr als 20 m 2 Grundfläche genügen Wände, die feuerhemmend sind oder aus nichtbrennbaren Baustoffen bestehen. Satz 1 gilt nicht für offene Kleingaragen.</w:t>
      </w:r>
    </w:p>
    <w:p>
      <w:r>
        <w:t xml:space="preserve">(2) Für Wände zwischen Garagen und nicht zur Garage gehörenden Räumen, sofern sie keine Trennwände nach Abs. 1 sind, gilt Art. 27 Abs. 3 Satz 1 BayBO entsprechend.</w:t>
      </w:r>
    </w:p>
    <w:p>
      <w:r>
        <w:t xml:space="preserve">(3) Absatz 2 gilt nicht für Trennwände</w:t>
      </w:r>
    </w:p>
    <w:p>
      <w:r>
        <w:t xml:space="preserve">1. zwischen Kleingaragen und Räumen, die nur Abstellzwecken dienen und nicht mehr als 20 m 2 Grundfläche haben,</w:t>
      </w:r>
    </w:p>
    <w:p>
      <w:r>
        <w:t xml:space="preserve">2. zwischen offenen Kleingaragen und anders genutzten Räumen.</w:t>
      </w:r>
    </w:p>
    <w:p>
      <w:r>
        <w:rPr>
          <w:color w:val="555555"/>
          <w:sz w:val="17"/>
        </w:rPr>
        <w:t xml:space="preserve">Zitiervorschlag: § 8 GaStellV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https://recht.nulegal.eu/gesetze/GaStellV/8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