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GaStellV (Bayern) — Außenwände</w:t>
      </w:r>
    </w:p>
    <w:p>
      <w:r>
        <w:rPr>
          <w:color w:val="555555"/>
          <w:sz w:val="18"/>
        </w:rPr>
        <w:t xml:space="preserve">Garagen- und Stellplatzverordnung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Nichttragende Außenwände und nichttragende Teile von Außenwänden von Mittel- und Großgaragen müssen aus nichtbrennbaren Baustoffen bestehen. Das gilt nicht für Außenwände von eingeschossigen oberirdischen Mittel- und Großgaragen, wenn das Gebäude allein der Garagennutzung dient.</w:t>
      </w:r>
    </w:p>
    <w:p>
      <w:r>
        <w:rPr>
          <w:color w:val="555555"/>
          <w:sz w:val="17"/>
        </w:rPr>
        <w:t xml:space="preserve">Zitiervorschlag: § 7 GaStellV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https://recht.nulegal.eu/gesetze/GaStellV/7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