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GaStellV (Bayern) — Ordnungswidrigkeiten</w:t>
      </w:r>
    </w:p>
    <w:p>
      <w:r>
        <w:rPr>
          <w:color w:val="555555"/>
          <w:sz w:val="18"/>
        </w:rPr>
        <w:t xml:space="preserve">Garagen- und Stellplatzverordnung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Art. 79 Abs. 1 Satz 1 Nr. 1 BayBO kann mit Geldbuße bis zu fünfhunderttausend Euro belegt werden, wer vorsätzlich oder fahrlässig</w:t>
      </w:r>
    </w:p>
    <w:p>
      <w:r>
        <w:t xml:space="preserve">1. entgegen § 17 Abs. 1 die Zu- oder Abfahrten oder die Rettungswege nicht verkehrssicher oder frei hält,</w:t>
      </w:r>
    </w:p>
    <w:p>
      <w:r>
        <w:t xml:space="preserve">2. entgegen § 17 Abs. 2 Mittel- und Großgaragen nicht ständig beleuchtet,</w:t>
      </w:r>
    </w:p>
    <w:p>
      <w:r>
        <w:t xml:space="preserve">3. entgegen § 17 Abs. 3 Satz 1 Lüftungsöffnungen oder -schächte verschließt oder zustellt,</w:t>
      </w:r>
    </w:p>
    <w:p>
      <w:r>
        <w:t xml:space="preserve">4. entgegen § 17 Abs. 3 Satz 3 CO-Warnanlagen nicht ständig eingeschaltet läßt,</w:t>
      </w:r>
    </w:p>
    <w:p>
      <w:r>
        <w:t xml:space="preserve">5. entgegen § 17 Abs. 3 Satz 4 maschinelle Lüftungsanlagen so betreibt, daß der genannte Wert des CO-Gehaltes der Luft überschritten wird.</w:t>
      </w:r>
    </w:p>
    <w:p>
      <w:r>
        <w:rPr>
          <w:color w:val="555555"/>
          <w:sz w:val="17"/>
        </w:rPr>
        <w:t xml:space="preserve">Zitiervorschlag: § 22 GaStellV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https://recht.nulegal.eu/gesetze/GaStellV/22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