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GaStellV (Bayern) — Weitergehende Anforderungen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eine Garage für Kraftfahrzeuge bestimmt ist, deren Länge mehr als 5 m und deren Breite mehr als 2 m beträgt, können weitergehende Anforderungen als nach dieser Verordnung zur Erfüllung des Art. 3 BayBO im Einzelfall gestellt werden.</w:t>
      </w:r>
    </w:p>
    <w:p>
      <w:r>
        <w:t xml:space="preserve">(2) Für geschlossene Großgaragen können im Einzelfall von den Brandschutzdienststellen Feuerwehrpläne gefordert werden.</w:t>
      </w:r>
    </w:p>
    <w:p>
      <w:r>
        <w:rPr>
          <w:color w:val="555555"/>
          <w:sz w:val="17"/>
        </w:rPr>
        <w:t xml:space="preserve">Zitiervorschlag: § 21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